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Specs for the 2025 Infiniti QX60 Autograph: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## Key Specifications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**Engine**: 2.0L VC-Turbo inline-4 cylinder engine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**Horsepower**: Up to 268 hp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**Torque**: Up to 286 lb-ft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**Transmission**: 9-speed automatic with manual-mode paddle shifters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**Drive Type**: All-wheel drive (AWD)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**Fuel Type**: Premium unleaded gasoline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**Fuel Economy**: EPA city/highway MPG: 22/27, combined: 24 MPG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**Fuel Tank Capacity**: 19.5 gallons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**Range**: Approximately 429 miles city, 526.5 miles highway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**Seating Capacity**: 6 passengers (with second-row captain’s chairs)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**Cargo Capacity**: 14.5 cubic feet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**Curb Weight**: Approximately 4,747 lbs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## Interior and Exterior Features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**Interior**: Quilted and perforated semi-aniline leather-appointed first- and second-row seating with contrast stitching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**Seating**: Second-row captain’s chairs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**Technology**: Head-Up Display technology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**Exterior**: Available in various colors, with options for alloy wheels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## Safety and Convenience Features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**Safety Features**: Forward Collision Warning, Lane Departure Warning, Lane Keep Assist, Blind Spot Monitor, Rear View Camera, Emergency Brake Assist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**Convenience Features**: Heated steering wheel, remote start, keyless entry, keyless ignition system, power tailgate/liftgate, Wi-Fi hotspot, navigation system, rain-sensing wipers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## Performance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**Acceleration**: 0-60 mph in approximately 7.5 seconds (based on similar models)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**Top Speed**: Electronically limited to 120 mph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**Braking**: 70-0 mph in approximately 171 feet (based on similar models)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